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03" w:rsidRPr="003A1DE0" w:rsidRDefault="003A1DE0" w:rsidP="00BE0C03">
      <w:pPr>
        <w:pStyle w:val="Prrafodelista"/>
        <w:jc w:val="center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3A1DE0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EJERCICIO 4</w:t>
      </w:r>
    </w:p>
    <w:tbl>
      <w:tblPr>
        <w:tblpPr w:leftFromText="141" w:rightFromText="141" w:bottomFromText="200" w:vertAnchor="text" w:horzAnchor="margin" w:tblpXSpec="center" w:tblpY="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4"/>
        <w:gridCol w:w="1139"/>
      </w:tblGrid>
      <w:tr w:rsidR="003A1DE0" w:rsidRPr="003A1DE0" w:rsidTr="00DB6225">
        <w:trPr>
          <w:trHeight w:hRule="exact" w:val="289"/>
        </w:trPr>
        <w:tc>
          <w:tcPr>
            <w:tcW w:w="5954" w:type="dxa"/>
            <w:hideMark/>
          </w:tcPr>
          <w:p w:rsidR="00BE0C03" w:rsidRPr="003A1DE0" w:rsidRDefault="003A1DE0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69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>Diferencias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>cambio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3A1DE0">
            <w:pPr>
              <w:widowControl w:val="0"/>
              <w:spacing w:before="69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.000</w:t>
            </w:r>
          </w:p>
        </w:tc>
      </w:tr>
      <w:tr w:rsidR="003A1DE0" w:rsidRPr="003A1DE0" w:rsidTr="00DB6225">
        <w:trPr>
          <w:trHeight w:hRule="exact" w:val="290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Servicios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bancarios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y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similares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3A1DE0">
            <w:pPr>
              <w:widowControl w:val="0"/>
              <w:spacing w:before="26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2.0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00</w:t>
            </w:r>
          </w:p>
        </w:tc>
      </w:tr>
      <w:tr w:rsidR="003A1DE0" w:rsidRPr="003A1DE0" w:rsidTr="00DB6225">
        <w:trPr>
          <w:trHeight w:hRule="exact" w:val="284"/>
        </w:trPr>
        <w:tc>
          <w:tcPr>
            <w:tcW w:w="5954" w:type="dxa"/>
            <w:hideMark/>
          </w:tcPr>
          <w:p w:rsidR="00BE0C03" w:rsidRPr="003A1DE0" w:rsidRDefault="003A1DE0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Trabajos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realizados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para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otras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empresas</w:t>
            </w:r>
            <w:proofErr w:type="spellEnd"/>
          </w:p>
        </w:tc>
        <w:tc>
          <w:tcPr>
            <w:tcW w:w="1139" w:type="dxa"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2.500</w:t>
            </w:r>
          </w:p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</w:p>
        </w:tc>
      </w:tr>
      <w:tr w:rsidR="003A1DE0" w:rsidRPr="003A1DE0" w:rsidTr="00DB6225">
        <w:trPr>
          <w:trHeight w:hRule="exact" w:val="291"/>
        </w:trPr>
        <w:tc>
          <w:tcPr>
            <w:tcW w:w="5954" w:type="dxa"/>
            <w:hideMark/>
          </w:tcPr>
          <w:p w:rsidR="00BE0C03" w:rsidRPr="003A1DE0" w:rsidRDefault="003A1DE0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>Otros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>gastos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spacing w:val="-5"/>
                <w:lang w:val="en-US"/>
              </w:rPr>
              <w:t>sociales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2.000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ab/>
            </w:r>
          </w:p>
        </w:tc>
      </w:tr>
      <w:tr w:rsidR="003A1DE0" w:rsidRPr="003A1DE0" w:rsidTr="00DB6225">
        <w:trPr>
          <w:trHeight w:hRule="exact" w:val="289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Exceso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provisiones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25.000</w:t>
            </w:r>
          </w:p>
        </w:tc>
      </w:tr>
      <w:tr w:rsidR="003A1DE0" w:rsidRPr="003A1DE0" w:rsidTr="00DB6225">
        <w:trPr>
          <w:trHeight w:hRule="exact" w:val="301"/>
        </w:trPr>
        <w:tc>
          <w:tcPr>
            <w:tcW w:w="5954" w:type="dxa"/>
            <w:hideMark/>
          </w:tcPr>
          <w:p w:rsidR="00BE0C03" w:rsidRPr="003A1DE0" w:rsidRDefault="003A1DE0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Variación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de valor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razonable</w:t>
            </w:r>
            <w:proofErr w:type="spellEnd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en instr. </w:t>
            </w:r>
            <w:proofErr w:type="spellStart"/>
            <w:r w:rsidRPr="003A1DE0">
              <w:rPr>
                <w:rFonts w:ascii="Times New Roman" w:hAnsi="Times New Roman" w:cs="Times New Roman"/>
                <w:color w:val="000000" w:themeColor="text1"/>
                <w:lang w:val="en-US"/>
              </w:rPr>
              <w:t>financ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4.000</w:t>
            </w:r>
          </w:p>
        </w:tc>
      </w:tr>
      <w:tr w:rsidR="003A1DE0" w:rsidRPr="003A1DE0" w:rsidTr="00DB6225">
        <w:trPr>
          <w:trHeight w:hRule="exact" w:val="298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Amortización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inmovilizado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intangible</w:t>
            </w:r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7.000</w:t>
            </w:r>
          </w:p>
        </w:tc>
      </w:tr>
      <w:tr w:rsidR="003A1DE0" w:rsidRPr="003A1DE0" w:rsidTr="00DB6225">
        <w:trPr>
          <w:trHeight w:hRule="exact" w:val="288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Publicidad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, propaganda y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ralaciones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públicas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4.000</w:t>
            </w:r>
          </w:p>
        </w:tc>
      </w:tr>
      <w:tr w:rsidR="003A1DE0" w:rsidRPr="003A1DE0" w:rsidTr="00DB6225">
        <w:trPr>
          <w:trHeight w:hRule="exact" w:val="324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Transportes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14.000</w:t>
            </w:r>
          </w:p>
        </w:tc>
      </w:tr>
      <w:tr w:rsidR="003A1DE0" w:rsidRPr="003A1DE0" w:rsidTr="00DB6225">
        <w:trPr>
          <w:trHeight w:hRule="exact" w:val="303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Arrendamientos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y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cánones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26.000</w:t>
            </w:r>
          </w:p>
        </w:tc>
      </w:tr>
      <w:tr w:rsidR="003A1DE0" w:rsidRPr="003A1DE0" w:rsidTr="00DB6225">
        <w:trPr>
          <w:trHeight w:hRule="exact" w:val="303"/>
        </w:trPr>
        <w:tc>
          <w:tcPr>
            <w:tcW w:w="5954" w:type="dxa"/>
            <w:hideMark/>
          </w:tcPr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1"/>
              </w:numPr>
              <w:spacing w:before="26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Prestación</w:t>
            </w:r>
            <w:proofErr w:type="spellEnd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servicios</w:t>
            </w:r>
            <w:proofErr w:type="spellEnd"/>
          </w:p>
        </w:tc>
        <w:tc>
          <w:tcPr>
            <w:tcW w:w="1139" w:type="dxa"/>
            <w:hideMark/>
          </w:tcPr>
          <w:p w:rsidR="00BE0C03" w:rsidRPr="003A1DE0" w:rsidRDefault="003A1DE0">
            <w:pPr>
              <w:widowControl w:val="0"/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00.000   </w:t>
            </w:r>
          </w:p>
        </w:tc>
      </w:tr>
      <w:tr w:rsidR="003A1DE0" w:rsidRPr="003A1DE0" w:rsidTr="00DB6225">
        <w:trPr>
          <w:trHeight w:hRule="exact" w:val="303"/>
        </w:trPr>
        <w:tc>
          <w:tcPr>
            <w:tcW w:w="5954" w:type="dxa"/>
          </w:tcPr>
          <w:p w:rsidR="00BE0C03" w:rsidRPr="003A1DE0" w:rsidRDefault="00BE0C03">
            <w:pPr>
              <w:pStyle w:val="Prrafodelista"/>
              <w:widowControl w:val="0"/>
              <w:spacing w:before="26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139" w:type="dxa"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</w:tc>
      </w:tr>
    </w:tbl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tbl>
      <w:tblPr>
        <w:tblStyle w:val="Sombreadomedio2-nfasis1"/>
        <w:tblW w:w="9075" w:type="dxa"/>
        <w:tblLayout w:type="fixed"/>
        <w:tblLook w:val="01E0" w:firstRow="1" w:lastRow="1" w:firstColumn="1" w:lastColumn="1" w:noHBand="0" w:noVBand="0"/>
      </w:tblPr>
      <w:tblGrid>
        <w:gridCol w:w="6806"/>
        <w:gridCol w:w="2269"/>
      </w:tblGrid>
      <w:tr w:rsidR="003A1DE0" w:rsidRPr="003A1DE0" w:rsidTr="003A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hideMark/>
          </w:tcPr>
          <w:p w:rsidR="00BE0C03" w:rsidRPr="003A1DE0" w:rsidRDefault="00BE0C03">
            <w:pPr>
              <w:widowControl w:val="0"/>
              <w:spacing w:before="43" w:line="276" w:lineRule="auto"/>
              <w:ind w:left="1327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pacing w:val="-4"/>
                <w:sz w:val="22"/>
                <w:lang w:eastAsia="en-US"/>
              </w:rPr>
              <w:t>CUENTA</w:t>
            </w:r>
            <w:r w:rsidR="003A1DE0">
              <w:rPr>
                <w:rFonts w:ascii="Times New Roman" w:eastAsia="Calibri" w:hAnsi="Times New Roman"/>
                <w:color w:val="000000" w:themeColor="text1"/>
                <w:spacing w:val="-4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DE</w:t>
            </w:r>
            <w:r w:rsid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PÉRDIDAS</w:t>
            </w:r>
            <w:r w:rsid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Y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="003A1DE0">
              <w:rPr>
                <w:rFonts w:ascii="Times New Roman" w:eastAsia="Calibri" w:hAnsi="Times New Roman"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GANANCIAS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1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1.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47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3A1DE0">
            <w:pPr>
              <w:widowControl w:val="0"/>
              <w:spacing w:before="31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  <w:t>5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00.000</w:t>
            </w:r>
          </w:p>
        </w:tc>
      </w:tr>
      <w:tr w:rsidR="003A1DE0" w:rsidRPr="003A1DE0" w:rsidTr="003A1DE0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>Prestación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>servicios</w:t>
            </w:r>
            <w:proofErr w:type="spellEnd"/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3A1DE0">
            <w:pPr>
              <w:widowControl w:val="0"/>
              <w:spacing w:before="24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00.000</w:t>
            </w:r>
          </w:p>
          <w:p w:rsidR="00BE0C03" w:rsidRPr="003A1DE0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ab/>
              <w:t xml:space="preserve">     </w:t>
            </w:r>
          </w:p>
          <w:p w:rsidR="00BE0C03" w:rsidRPr="003A1DE0" w:rsidRDefault="00BE0C03">
            <w:pPr>
              <w:spacing w:line="276" w:lineRule="auto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18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de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59.200</w:t>
            </w:r>
          </w:p>
        </w:tc>
      </w:tr>
      <w:tr w:rsidR="003A1DE0" w:rsidRPr="003A1DE0" w:rsidTr="003A1DE0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Arrendamientos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 xml:space="preserve"> y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cánones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26.000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Transportes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14.000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>Publicidad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 xml:space="preserve">, propaganda y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>relaciones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>públicas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line="269" w:lineRule="exact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4.000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Amortización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inmovilizado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intangible</w:t>
            </w:r>
          </w:p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Trabajos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realizados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para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otras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empresas</w:t>
            </w:r>
            <w:proofErr w:type="spellEnd"/>
          </w:p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Otros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gastos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sociales</w:t>
            </w:r>
            <w:proofErr w:type="spellEnd"/>
          </w:p>
          <w:p w:rsidR="00BE0C03" w:rsidRPr="003A1DE0" w:rsidRDefault="00BE0C03" w:rsidP="00661BBF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Servicios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bancarios</w:t>
            </w:r>
            <w:proofErr w:type="spellEnd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y </w:t>
            </w:r>
            <w:proofErr w:type="spellStart"/>
            <w:r w:rsidRPr="003A1DE0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similares</w:t>
            </w:r>
            <w:proofErr w:type="spellEnd"/>
          </w:p>
          <w:p w:rsidR="00BE0C03" w:rsidRPr="003A1DE0" w:rsidRDefault="00BE0C03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line="259" w:lineRule="exact"/>
              <w:ind w:right="99"/>
              <w:jc w:val="right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7.000</w:t>
            </w:r>
          </w:p>
          <w:p w:rsidR="00BE0C03" w:rsidRPr="003A1DE0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 xml:space="preserve">                      </w:t>
            </w:r>
          </w:p>
          <w:p w:rsidR="00BE0C03" w:rsidRPr="003A1DE0" w:rsidRDefault="003A1DE0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                  2.5</w:t>
            </w:r>
            <w:r w:rsidR="00BE0C03"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00</w:t>
            </w:r>
          </w:p>
          <w:p w:rsidR="00BE0C03" w:rsidRPr="003A1DE0" w:rsidRDefault="003A1DE0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                 2</w:t>
            </w:r>
            <w:r w:rsidR="00BE0C03"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.000</w:t>
            </w:r>
          </w:p>
          <w:p w:rsidR="00BE0C03" w:rsidRPr="003A1DE0" w:rsidRDefault="003A1DE0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                 2.0</w:t>
            </w:r>
            <w:r w:rsidR="00BE0C03"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3.EXCESO DE PROVISIONES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25.000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A.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EXPLOTACIÓN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(BAII)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1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2+3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3A1DE0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  <w:lang w:val="en-US" w:eastAsia="en-US"/>
              </w:rPr>
              <w:t>3</w:t>
            </w:r>
            <w:r w:rsidR="00BE0C03"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65.000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4.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0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VARIACIÓN DE VALOR RAZONA. INST. FINANC.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3A1DE0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  <w:t>4.0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5. DIFERENCIAL DEL CAMBIO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3A1DE0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  <w:t>5</w:t>
            </w:r>
            <w:r w:rsidR="00BE0C03"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B.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val="en-US"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 xml:space="preserve">FINANCIERO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4+5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4.500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C.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40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BRUTO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(BAI)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A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+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  <w:t>669.500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5.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Impuesto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sobre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43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beneficios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200.850</w:t>
            </w:r>
          </w:p>
        </w:tc>
      </w:tr>
      <w:tr w:rsidR="003A1DE0" w:rsidRPr="003A1DE0" w:rsidTr="003A1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DEL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EJERCICIO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(BN)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C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  <w:t>468.650</w:t>
            </w:r>
          </w:p>
        </w:tc>
      </w:tr>
    </w:tbl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DB6225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DB6225" w:rsidRDefault="003A1DE0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  <w:r w:rsidRPr="00DB6225">
        <w:rPr>
          <w:rFonts w:ascii="Times New Roman" w:hAnsi="Times New Roman"/>
          <w:b/>
          <w:color w:val="000000" w:themeColor="text1"/>
          <w:sz w:val="22"/>
          <w:u w:val="single"/>
        </w:rPr>
        <w:t>EJERCICIO 3</w:t>
      </w:r>
    </w:p>
    <w:p w:rsidR="00DB6225" w:rsidRPr="00DB6225" w:rsidRDefault="00DB6225" w:rsidP="00DB6225">
      <w:pPr>
        <w:jc w:val="center"/>
        <w:rPr>
          <w:rFonts w:ascii="Times New Roman" w:hAnsi="Times New Roman"/>
          <w:b/>
          <w:sz w:val="22"/>
          <w:u w:val="single"/>
        </w:rPr>
      </w:pPr>
    </w:p>
    <w:tbl>
      <w:tblPr>
        <w:tblpPr w:leftFromText="141" w:rightFromText="141" w:bottomFromText="200" w:vertAnchor="text" w:horzAnchor="margin" w:tblpXSpec="center" w:tblpY="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2223"/>
      </w:tblGrid>
      <w:tr w:rsidR="00DB6225" w:rsidRPr="00DB6225" w:rsidTr="00DB6225">
        <w:trPr>
          <w:trHeight w:hRule="exact" w:val="289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69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Otros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gastos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sociales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69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3.000</w:t>
            </w:r>
          </w:p>
        </w:tc>
      </w:tr>
      <w:tr w:rsidR="00DB6225" w:rsidRPr="00DB6225" w:rsidTr="00DB6225">
        <w:trPr>
          <w:trHeight w:hRule="exact" w:val="290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Servicios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bancarios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y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similares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1.200</w:t>
            </w:r>
          </w:p>
        </w:tc>
      </w:tr>
      <w:tr w:rsidR="00DB6225" w:rsidRPr="00DB6225" w:rsidTr="00DB6225">
        <w:trPr>
          <w:trHeight w:hRule="exact" w:val="284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Variación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de valor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razonable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en instr.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financ</w:t>
            </w:r>
            <w:proofErr w:type="spellEnd"/>
          </w:p>
        </w:tc>
        <w:tc>
          <w:tcPr>
            <w:tcW w:w="2223" w:type="dxa"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eastAsia="Calibri" w:hAnsi="Times New Roman"/>
                <w:sz w:val="22"/>
                <w:lang w:val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2.500</w:t>
            </w:r>
          </w:p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eastAsia="Calibri" w:hAnsi="Times New Roman"/>
                <w:sz w:val="22"/>
                <w:lang w:val="en-US"/>
              </w:rPr>
            </w:pPr>
          </w:p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</w:p>
        </w:tc>
      </w:tr>
      <w:tr w:rsidR="00DB6225" w:rsidRPr="00DB6225" w:rsidTr="00DB6225">
        <w:trPr>
          <w:trHeight w:hRule="exact" w:val="291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eastAsia="Calibri" w:hAnsi="Times New Roman"/>
                <w:spacing w:val="-5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pacing w:val="-5"/>
                <w:sz w:val="22"/>
                <w:lang w:val="en-US"/>
              </w:rPr>
              <w:t>Diferencias</w:t>
            </w:r>
            <w:proofErr w:type="spellEnd"/>
            <w:r w:rsidRPr="00DB6225">
              <w:rPr>
                <w:rFonts w:ascii="Times New Roman" w:eastAsia="Calibri" w:hAnsi="Times New Roman"/>
                <w:spacing w:val="-5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Calibri" w:hAnsi="Times New Roman"/>
                <w:spacing w:val="-5"/>
                <w:sz w:val="22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tabs>
                <w:tab w:val="left" w:pos="870"/>
                <w:tab w:val="left" w:pos="1335"/>
              </w:tabs>
              <w:spacing w:before="26"/>
              <w:ind w:right="105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ab/>
              <w:t xml:space="preserve">           2.000 1122.000</w:t>
            </w: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ab/>
            </w:r>
          </w:p>
        </w:tc>
      </w:tr>
      <w:tr w:rsidR="00DB6225" w:rsidRPr="00DB6225" w:rsidTr="00DB6225">
        <w:trPr>
          <w:trHeight w:hRule="exact" w:val="289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Exceso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provisiones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25.000</w:t>
            </w:r>
          </w:p>
        </w:tc>
      </w:tr>
      <w:tr w:rsidR="00DB6225" w:rsidRPr="00DB6225" w:rsidTr="00DB6225">
        <w:trPr>
          <w:trHeight w:hRule="exact" w:val="301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Trabajos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realizados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para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otras</w:t>
            </w:r>
            <w:proofErr w:type="spellEnd"/>
            <w:r w:rsidRPr="00DB6225"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sz w:val="22"/>
                <w:lang w:val="en-US"/>
              </w:rPr>
              <w:t>empresas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4.000</w:t>
            </w:r>
          </w:p>
        </w:tc>
      </w:tr>
      <w:tr w:rsidR="00DB6225" w:rsidRPr="00DB6225" w:rsidTr="00DB6225">
        <w:trPr>
          <w:trHeight w:hRule="exact" w:val="298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Amortización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inmovilizado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intangible</w:t>
            </w:r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7.000</w:t>
            </w:r>
          </w:p>
        </w:tc>
      </w:tr>
      <w:tr w:rsidR="00DB6225" w:rsidRPr="00DB6225" w:rsidTr="00DB6225">
        <w:trPr>
          <w:trHeight w:hRule="exact" w:val="288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Publicidad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, propaganda y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ralaciones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públicas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4.000</w:t>
            </w:r>
          </w:p>
        </w:tc>
      </w:tr>
      <w:tr w:rsidR="00DB6225" w:rsidRPr="00DB6225" w:rsidTr="00DB6225">
        <w:trPr>
          <w:trHeight w:hRule="exact" w:val="324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Transportes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14.000</w:t>
            </w:r>
          </w:p>
        </w:tc>
      </w:tr>
      <w:tr w:rsidR="00DB6225" w:rsidRPr="00DB6225" w:rsidTr="00DB6225">
        <w:trPr>
          <w:trHeight w:hRule="exact" w:val="303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Arrendamientos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y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cánones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right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26.000</w:t>
            </w:r>
          </w:p>
        </w:tc>
      </w:tr>
      <w:tr w:rsidR="00DB6225" w:rsidRPr="00DB6225" w:rsidTr="00DB6225">
        <w:trPr>
          <w:trHeight w:hRule="exact" w:val="303"/>
        </w:trPr>
        <w:tc>
          <w:tcPr>
            <w:tcW w:w="4870" w:type="dxa"/>
            <w:hideMark/>
          </w:tcPr>
          <w:p w:rsidR="00DB6225" w:rsidRPr="00DB6225" w:rsidRDefault="00DB6225">
            <w:pPr>
              <w:widowControl w:val="0"/>
              <w:spacing w:before="26"/>
              <w:ind w:left="110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Prestación</w:t>
            </w:r>
            <w:proofErr w:type="spellEnd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>servicios</w:t>
            </w:r>
            <w:proofErr w:type="spellEnd"/>
          </w:p>
        </w:tc>
        <w:tc>
          <w:tcPr>
            <w:tcW w:w="2223" w:type="dxa"/>
            <w:hideMark/>
          </w:tcPr>
          <w:p w:rsidR="00DB6225" w:rsidRPr="00DB6225" w:rsidRDefault="00DB6225">
            <w:pPr>
              <w:widowControl w:val="0"/>
              <w:spacing w:before="26"/>
              <w:ind w:right="105"/>
              <w:jc w:val="center"/>
              <w:rPr>
                <w:rFonts w:ascii="Times New Roman" w:eastAsia="Calibri" w:hAnsi="Times New Roman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sz w:val="22"/>
                <w:lang w:val="en-US"/>
              </w:rPr>
              <w:t xml:space="preserve">                    700.000   .000</w:t>
            </w:r>
          </w:p>
        </w:tc>
      </w:tr>
      <w:tr w:rsidR="00DB6225" w:rsidRPr="00DB6225" w:rsidTr="00DB6225">
        <w:trPr>
          <w:trHeight w:hRule="exact" w:val="303"/>
        </w:trPr>
        <w:tc>
          <w:tcPr>
            <w:tcW w:w="4870" w:type="dxa"/>
          </w:tcPr>
          <w:p w:rsidR="00DB6225" w:rsidRPr="00DB6225" w:rsidRDefault="00DB6225" w:rsidP="00DB6225">
            <w:pPr>
              <w:widowControl w:val="0"/>
              <w:spacing w:before="26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  <w:tc>
          <w:tcPr>
            <w:tcW w:w="2223" w:type="dxa"/>
          </w:tcPr>
          <w:p w:rsidR="00DB6225" w:rsidRPr="00DB6225" w:rsidRDefault="00DB6225">
            <w:pPr>
              <w:widowControl w:val="0"/>
              <w:spacing w:before="26"/>
              <w:ind w:right="105"/>
              <w:jc w:val="center"/>
              <w:rPr>
                <w:rFonts w:ascii="Times New Roman" w:eastAsia="Calibri" w:hAnsi="Times New Roman"/>
                <w:sz w:val="22"/>
                <w:lang w:val="en-US"/>
              </w:rPr>
            </w:pPr>
          </w:p>
        </w:tc>
      </w:tr>
    </w:tbl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  <w:lang w:eastAsia="en-US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p w:rsidR="00DB6225" w:rsidRPr="00DB6225" w:rsidRDefault="00DB6225" w:rsidP="00DB6225">
      <w:pPr>
        <w:rPr>
          <w:rFonts w:ascii="Times New Roman" w:hAnsi="Times New Roman"/>
          <w:b/>
          <w:sz w:val="22"/>
          <w:u w:val="single"/>
        </w:rPr>
      </w:pPr>
    </w:p>
    <w:tbl>
      <w:tblPr>
        <w:tblStyle w:val="Sombreadomedio2-nfasis1"/>
        <w:tblW w:w="9075" w:type="dxa"/>
        <w:tblLayout w:type="fixed"/>
        <w:tblLook w:val="01E0" w:firstRow="1" w:lastRow="1" w:firstColumn="1" w:lastColumn="1" w:noHBand="0" w:noVBand="0"/>
      </w:tblPr>
      <w:tblGrid>
        <w:gridCol w:w="6806"/>
        <w:gridCol w:w="2269"/>
      </w:tblGrid>
      <w:tr w:rsidR="00DB6225" w:rsidRPr="00DB6225" w:rsidTr="00DB6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2" w:type="dxa"/>
            <w:gridSpan w:val="2"/>
            <w:hideMark/>
          </w:tcPr>
          <w:p w:rsidR="00DB6225" w:rsidRPr="00DB6225" w:rsidRDefault="00DB6225">
            <w:pPr>
              <w:widowControl w:val="0"/>
              <w:spacing w:before="43"/>
              <w:ind w:left="1327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4"/>
                <w:sz w:val="22"/>
              </w:rPr>
              <w:t>CUENTA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</w:rPr>
              <w:t>DE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</w:rPr>
              <w:t>PÉRDIDAS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</w:rPr>
              <w:t>Y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39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</w:rPr>
              <w:t>GANANCIAS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1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1.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Ingresos</w:t>
            </w:r>
            <w:proofErr w:type="spellEnd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 de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47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1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700.000</w:t>
            </w:r>
          </w:p>
        </w:tc>
      </w:tr>
      <w:tr w:rsidR="00DB6225" w:rsidRPr="00DB6225" w:rsidTr="00DB6225">
        <w:trPr>
          <w:trHeight w:hRule="exact"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DB6225" w:rsidRPr="00DB6225" w:rsidRDefault="00DB6225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/>
              </w:rPr>
              <w:t>Prestación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/>
              </w:rPr>
              <w:t>servicios</w:t>
            </w:r>
            <w:proofErr w:type="spellEnd"/>
          </w:p>
          <w:p w:rsidR="00DB6225" w:rsidRPr="00DB6225" w:rsidRDefault="00DB6225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24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/>
              </w:rPr>
              <w:t>700.000</w:t>
            </w:r>
          </w:p>
          <w:p w:rsidR="00DB6225" w:rsidRPr="00DB6225" w:rsidRDefault="00DB6225">
            <w:pPr>
              <w:tabs>
                <w:tab w:val="left" w:pos="990"/>
                <w:tab w:val="left" w:pos="1170"/>
              </w:tabs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ab/>
              <w:t xml:space="preserve">     </w:t>
            </w:r>
          </w:p>
          <w:p w:rsidR="00DB6225" w:rsidRPr="00DB6225" w:rsidRDefault="00DB6225">
            <w:pPr>
              <w:spacing w:after="200" w:line="276" w:lineRule="auto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 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2.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18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Gastos</w:t>
            </w:r>
            <w:proofErr w:type="spellEnd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19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de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19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59.200</w:t>
            </w:r>
          </w:p>
        </w:tc>
      </w:tr>
      <w:tr w:rsidR="00DB6225" w:rsidRPr="00DB6225" w:rsidTr="00DB6225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/>
              </w:rPr>
              <w:t>Arrendamientos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/>
              </w:rPr>
              <w:t xml:space="preserve"> y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/>
              </w:rPr>
              <w:t>cánones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24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  <w:t>26.000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>Transportes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6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  <w:t>14.000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tabs>
                <w:tab w:val="left" w:pos="823"/>
              </w:tabs>
              <w:spacing w:before="9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/>
              </w:rPr>
              <w:t>Publicidad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/>
              </w:rPr>
              <w:t xml:space="preserve">, propaganda y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/>
              </w:rPr>
              <w:t>relaciones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/>
              </w:rPr>
              <w:t>públicas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line="269" w:lineRule="exact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  <w:t>4.000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DB6225" w:rsidRPr="00DB6225" w:rsidRDefault="00DB6225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>Amortización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de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>inmovilizado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intangible</w:t>
            </w:r>
          </w:p>
          <w:p w:rsidR="00DB6225" w:rsidRPr="00DB6225" w:rsidRDefault="00DB6225" w:rsidP="00DB622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Trabajos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realizados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para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otras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empresas</w:t>
            </w:r>
            <w:proofErr w:type="spellEnd"/>
          </w:p>
          <w:p w:rsidR="00DB6225" w:rsidRPr="00DB6225" w:rsidRDefault="00DB6225" w:rsidP="00DB622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Otros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gastos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sociales</w:t>
            </w:r>
            <w:proofErr w:type="spellEnd"/>
          </w:p>
          <w:p w:rsidR="00DB6225" w:rsidRPr="00DB6225" w:rsidRDefault="00DB6225" w:rsidP="00DB6225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823"/>
              </w:tabs>
              <w:spacing w:before="17"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Servicios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bancarios</w:t>
            </w:r>
            <w:proofErr w:type="spellEnd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 xml:space="preserve"> y </w:t>
            </w:r>
            <w:proofErr w:type="spellStart"/>
            <w:r w:rsidRPr="00DB6225"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  <w:t>similares</w:t>
            </w:r>
            <w:proofErr w:type="spellEnd"/>
          </w:p>
          <w:p w:rsidR="00DB6225" w:rsidRPr="00DB6225" w:rsidRDefault="00DB6225">
            <w:pPr>
              <w:pStyle w:val="Prrafodelista"/>
              <w:widowControl w:val="0"/>
              <w:tabs>
                <w:tab w:val="left" w:pos="823"/>
              </w:tabs>
              <w:spacing w:before="17" w:after="0" w:line="240" w:lineRule="auto"/>
              <w:ind w:left="824"/>
              <w:rPr>
                <w:rFonts w:ascii="Times New Roman" w:eastAsia="Microsoft Sans Serif" w:hAnsi="Times New Roman" w:cs="Times New Roman"/>
                <w:color w:val="000000" w:themeColor="text1"/>
                <w:lang w:val="en-US"/>
              </w:rPr>
            </w:pPr>
          </w:p>
          <w:p w:rsidR="00DB6225" w:rsidRPr="00DB6225" w:rsidRDefault="00DB6225">
            <w:pPr>
              <w:widowControl w:val="0"/>
              <w:tabs>
                <w:tab w:val="left" w:pos="823"/>
              </w:tabs>
              <w:spacing w:before="17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line="259" w:lineRule="exact"/>
              <w:ind w:right="99"/>
              <w:jc w:val="right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  <w:t>7.000</w:t>
            </w:r>
          </w:p>
          <w:p w:rsidR="00DB6225" w:rsidRPr="00DB6225" w:rsidRDefault="00DB6225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/>
              </w:rPr>
              <w:t xml:space="preserve">                      </w:t>
            </w:r>
          </w:p>
          <w:p w:rsidR="00DB6225" w:rsidRPr="00DB6225" w:rsidRDefault="00DB6225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                         4.000</w:t>
            </w:r>
          </w:p>
          <w:p w:rsidR="00DB6225" w:rsidRPr="00DB6225" w:rsidRDefault="00DB6225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                        3.000</w:t>
            </w:r>
          </w:p>
          <w:p w:rsidR="00DB6225" w:rsidRPr="00DB6225" w:rsidRDefault="00DB6225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/>
              </w:rPr>
              <w:t xml:space="preserve">                         1.200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3.EXCESO DE PROVISIONES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121"/>
              <w:jc w:val="right"/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  <w:lang w:val="en-US"/>
              </w:rPr>
              <w:t>25.000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A.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6"/>
                <w:sz w:val="22"/>
              </w:rPr>
              <w:t>RESULTADO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DE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6"/>
                <w:sz w:val="22"/>
              </w:rPr>
              <w:t>EXPLOTACIÓN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(BAII)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=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1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–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2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2+3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  <w:lang w:val="en-US"/>
              </w:rPr>
              <w:t>665.000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4.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30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 VARIACIÓN DE VALOR RAZONA. INST. FINANC.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2.500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5. DIFERENCIAL DEL CAMBIO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99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2.000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  <w:lang w:val="en-US"/>
              </w:rPr>
              <w:t>B.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9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6"/>
                <w:sz w:val="22"/>
                <w:lang w:val="en-US"/>
              </w:rPr>
              <w:t>RESULTADO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9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  <w:lang w:val="en-US"/>
              </w:rPr>
              <w:t xml:space="preserve">FINANCIERO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9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  <w:lang w:val="en-US"/>
              </w:rPr>
              <w:t>=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39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  <w:lang w:val="en-US"/>
              </w:rPr>
              <w:t>4+5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  <w:lang w:val="en-US"/>
              </w:rPr>
              <w:t>4.500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C.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40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6"/>
                <w:sz w:val="22"/>
              </w:rPr>
              <w:t>RESULTADO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9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BRUTO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(BAI)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=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9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A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8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+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pacing w:val="-39"/>
                <w:sz w:val="22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i/>
                <w:color w:val="000000" w:themeColor="text1"/>
                <w:sz w:val="22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Arial" w:hAnsi="Times New Roman"/>
                <w:color w:val="000000" w:themeColor="text1"/>
                <w:sz w:val="22"/>
                <w:lang w:val="en-US"/>
              </w:rPr>
              <w:t>669.500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5.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Impuesto</w:t>
            </w:r>
            <w:proofErr w:type="spellEnd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sobre</w:t>
            </w:r>
            <w:proofErr w:type="spellEnd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pacing w:val="-43"/>
                <w:sz w:val="22"/>
                <w:lang w:val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beneficios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/>
              </w:rPr>
              <w:t>200.850</w:t>
            </w:r>
          </w:p>
        </w:tc>
      </w:tr>
      <w:tr w:rsidR="00DB6225" w:rsidRPr="00DB6225" w:rsidTr="00DB6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DB6225" w:rsidRPr="00DB6225" w:rsidRDefault="00DB6225">
            <w:pPr>
              <w:widowControl w:val="0"/>
              <w:spacing w:before="33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D.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6"/>
                <w:sz w:val="22"/>
              </w:rPr>
              <w:t>RESULTADO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DEL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EJERCICIO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(BN)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=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C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–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pacing w:val="-43"/>
                <w:sz w:val="22"/>
              </w:rPr>
              <w:t xml:space="preserve"> </w:t>
            </w:r>
            <w:r w:rsidRPr="00DB6225">
              <w:rPr>
                <w:rFonts w:ascii="Times New Roman" w:eastAsia="Arial" w:hAnsi="Times New Roman"/>
                <w:b w:val="0"/>
                <w:bCs w:val="0"/>
                <w:i/>
                <w:color w:val="000000" w:themeColor="text1"/>
                <w:sz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B6225" w:rsidRPr="00DB6225" w:rsidRDefault="00DB6225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>
              <w:rPr>
                <w:rFonts w:ascii="Times New Roman" w:eastAsia="Arial" w:hAnsi="Times New Roman"/>
                <w:color w:val="000000" w:themeColor="text1"/>
                <w:sz w:val="22"/>
                <w:lang w:val="en-US"/>
              </w:rPr>
              <w:t>6</w:t>
            </w:r>
            <w:bookmarkStart w:id="0" w:name="_GoBack"/>
            <w:bookmarkEnd w:id="0"/>
            <w:r w:rsidRPr="00DB6225">
              <w:rPr>
                <w:rFonts w:ascii="Times New Roman" w:eastAsia="Arial" w:hAnsi="Times New Roman"/>
                <w:color w:val="000000" w:themeColor="text1"/>
                <w:sz w:val="22"/>
                <w:lang w:val="en-US"/>
              </w:rPr>
              <w:t>68.650</w:t>
            </w:r>
          </w:p>
        </w:tc>
      </w:tr>
    </w:tbl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3A1DE0" w:rsidP="00BE0C03">
      <w:pPr>
        <w:jc w:val="center"/>
        <w:rPr>
          <w:rFonts w:ascii="Times New Roman" w:hAnsi="Times New Roman"/>
          <w:b/>
          <w:color w:val="000000" w:themeColor="text1"/>
          <w:sz w:val="22"/>
          <w:u w:val="single"/>
        </w:rPr>
      </w:pPr>
      <w:r w:rsidRPr="003A1DE0">
        <w:rPr>
          <w:rFonts w:ascii="Times New Roman" w:hAnsi="Times New Roman"/>
          <w:b/>
          <w:color w:val="000000" w:themeColor="text1"/>
          <w:sz w:val="22"/>
          <w:u w:val="single"/>
        </w:rPr>
        <w:t>EJERCICIO 2</w:t>
      </w:r>
    </w:p>
    <w:tbl>
      <w:tblPr>
        <w:tblpPr w:leftFromText="141" w:rightFromText="141" w:bottomFromText="200" w:vertAnchor="text" w:horzAnchor="margin" w:tblpXSpec="center" w:tblpY="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7"/>
        <w:gridCol w:w="1976"/>
      </w:tblGrid>
      <w:tr w:rsidR="003A1DE0" w:rsidRPr="003A1DE0" w:rsidTr="00DB6225">
        <w:trPr>
          <w:trHeight w:hRule="exact" w:val="302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69" w:line="276" w:lineRule="auto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Comisiones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generales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69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5.000</w:t>
            </w:r>
          </w:p>
        </w:tc>
      </w:tr>
      <w:tr w:rsidR="003A1DE0" w:rsidRPr="003A1DE0" w:rsidTr="00DB6225">
        <w:trPr>
          <w:trHeight w:hRule="exact" w:val="303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>Otros</w:t>
            </w:r>
            <w:proofErr w:type="spellEnd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>resultados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22.000</w:t>
            </w:r>
          </w:p>
        </w:tc>
      </w:tr>
      <w:tr w:rsidR="003A1DE0" w:rsidRPr="003A1DE0" w:rsidTr="00DB6225">
        <w:trPr>
          <w:trHeight w:hRule="exact" w:val="297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pacing w:val="-5"/>
                <w:sz w:val="22"/>
                <w:lang w:val="en-US" w:eastAsia="en-US"/>
              </w:rPr>
              <w:t>Seguridad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pacing w:val="-5"/>
                <w:sz w:val="22"/>
                <w:lang w:val="en-US" w:eastAsia="en-US"/>
              </w:rPr>
              <w:t xml:space="preserve"> social a cargo de la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pacing w:val="-5"/>
                <w:sz w:val="22"/>
                <w:lang w:val="en-US" w:eastAsia="en-US"/>
              </w:rPr>
              <w:t>empresa</w:t>
            </w:r>
            <w:proofErr w:type="spellEnd"/>
          </w:p>
        </w:tc>
        <w:tc>
          <w:tcPr>
            <w:tcW w:w="1976" w:type="dxa"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5.500</w:t>
            </w:r>
          </w:p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</w:p>
        </w:tc>
      </w:tr>
      <w:tr w:rsidR="003A1DE0" w:rsidRPr="003A1DE0" w:rsidTr="00DB6225">
        <w:trPr>
          <w:trHeight w:hRule="exact" w:val="305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pacing w:val="-5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pacing w:val="-5"/>
                <w:sz w:val="22"/>
                <w:lang w:val="en-US" w:eastAsia="en-US"/>
              </w:rPr>
              <w:t>indemnizaciones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tabs>
                <w:tab w:val="left" w:pos="870"/>
                <w:tab w:val="left" w:pos="1335"/>
              </w:tabs>
              <w:spacing w:before="26" w:line="276" w:lineRule="auto"/>
              <w:ind w:right="105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ab/>
              <w:t xml:space="preserve">           1.000 </w:t>
            </w:r>
          </w:p>
        </w:tc>
      </w:tr>
      <w:tr w:rsidR="003A1DE0" w:rsidRPr="003A1DE0" w:rsidTr="00DB6225">
        <w:trPr>
          <w:trHeight w:hRule="exact" w:val="302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Sueldos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y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salarios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35.000</w:t>
            </w:r>
          </w:p>
        </w:tc>
      </w:tr>
      <w:tr w:rsidR="003A1DE0" w:rsidRPr="003A1DE0" w:rsidTr="00DB6225">
        <w:trPr>
          <w:trHeight w:hRule="exact" w:val="314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>Otros</w:t>
            </w:r>
            <w:proofErr w:type="spellEnd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20.000</w:t>
            </w:r>
          </w:p>
        </w:tc>
      </w:tr>
      <w:tr w:rsidR="003A1DE0" w:rsidRPr="003A1DE0" w:rsidTr="00DB6225">
        <w:trPr>
          <w:trHeight w:hRule="exact" w:val="311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Otros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18.000</w:t>
            </w:r>
          </w:p>
        </w:tc>
      </w:tr>
      <w:tr w:rsidR="003A1DE0" w:rsidRPr="003A1DE0" w:rsidTr="00DB6225">
        <w:trPr>
          <w:trHeight w:hRule="exact" w:val="301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por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servicios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diversos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10.000</w:t>
            </w:r>
          </w:p>
        </w:tc>
      </w:tr>
      <w:tr w:rsidR="003A1DE0" w:rsidRPr="003A1DE0" w:rsidTr="00DB6225">
        <w:trPr>
          <w:trHeight w:hRule="exact" w:val="338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Compra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materias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primas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112.000</w:t>
            </w:r>
          </w:p>
        </w:tc>
      </w:tr>
      <w:tr w:rsidR="003A1DE0" w:rsidRPr="003A1DE0" w:rsidTr="00DB6225">
        <w:trPr>
          <w:trHeight w:hRule="exact" w:val="316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Ventas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productos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terminados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right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786.000</w:t>
            </w:r>
          </w:p>
        </w:tc>
      </w:tr>
      <w:tr w:rsidR="003A1DE0" w:rsidRPr="003A1DE0" w:rsidTr="00DB6225">
        <w:trPr>
          <w:trHeight w:hRule="exact" w:val="316"/>
        </w:trPr>
        <w:tc>
          <w:tcPr>
            <w:tcW w:w="4327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Comisiones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por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gestión</w:t>
            </w:r>
            <w:proofErr w:type="spellEnd"/>
          </w:p>
        </w:tc>
        <w:tc>
          <w:tcPr>
            <w:tcW w:w="1976" w:type="dxa"/>
            <w:hideMark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                    3.000</w:t>
            </w:r>
          </w:p>
        </w:tc>
      </w:tr>
      <w:tr w:rsidR="003A1DE0" w:rsidRPr="003A1DE0" w:rsidTr="00DB6225">
        <w:trPr>
          <w:trHeight w:hRule="exact" w:val="316"/>
        </w:trPr>
        <w:tc>
          <w:tcPr>
            <w:tcW w:w="4327" w:type="dxa"/>
          </w:tcPr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  <w:p w:rsidR="00BE0C03" w:rsidRPr="003A1DE0" w:rsidRDefault="00BE0C03">
            <w:pPr>
              <w:widowControl w:val="0"/>
              <w:spacing w:before="26" w:line="276" w:lineRule="auto"/>
              <w:ind w:left="110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tcW w:w="1976" w:type="dxa"/>
          </w:tcPr>
          <w:p w:rsidR="00BE0C03" w:rsidRPr="003A1DE0" w:rsidRDefault="00BE0C03">
            <w:pPr>
              <w:widowControl w:val="0"/>
              <w:spacing w:before="26" w:line="276" w:lineRule="auto"/>
              <w:ind w:right="105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</w:pPr>
          </w:p>
        </w:tc>
      </w:tr>
    </w:tbl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rPr>
          <w:rFonts w:ascii="Times New Roman" w:hAnsi="Times New Roman"/>
          <w:b/>
          <w:color w:val="000000" w:themeColor="text1"/>
          <w:sz w:val="22"/>
          <w:u w:val="single"/>
        </w:rPr>
      </w:pPr>
    </w:p>
    <w:tbl>
      <w:tblPr>
        <w:tblStyle w:val="Sombreadomedio2-nfasis1"/>
        <w:tblW w:w="8925" w:type="dxa"/>
        <w:tblLayout w:type="fixed"/>
        <w:tblLook w:val="01E0" w:firstRow="1" w:lastRow="1" w:firstColumn="1" w:lastColumn="1" w:noHBand="0" w:noVBand="0"/>
      </w:tblPr>
      <w:tblGrid>
        <w:gridCol w:w="6800"/>
        <w:gridCol w:w="2125"/>
      </w:tblGrid>
      <w:tr w:rsidR="003A1DE0" w:rsidRPr="003A1DE0" w:rsidTr="003A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0" w:type="dxa"/>
            <w:gridSpan w:val="2"/>
            <w:hideMark/>
          </w:tcPr>
          <w:p w:rsidR="00BE0C03" w:rsidRPr="003A1DE0" w:rsidRDefault="00BE0C03">
            <w:pPr>
              <w:widowControl w:val="0"/>
              <w:spacing w:before="43" w:line="276" w:lineRule="auto"/>
              <w:ind w:left="1327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pacing w:val="-4"/>
                <w:sz w:val="22"/>
                <w:lang w:eastAsia="en-US"/>
              </w:rPr>
              <w:t>CUENTA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DE</w:t>
            </w:r>
            <w:r w:rsid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PÉRDIDAS</w:t>
            </w:r>
            <w:r w:rsid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 xml:space="preserve">  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Y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="003A1DE0">
              <w:rPr>
                <w:rFonts w:ascii="Times New Roman" w:eastAsia="Calibri" w:hAnsi="Times New Roman"/>
                <w:color w:val="000000" w:themeColor="text1"/>
                <w:spacing w:val="-39"/>
                <w:sz w:val="22"/>
                <w:lang w:eastAsia="en-US"/>
              </w:rPr>
              <w:t xml:space="preserve"> 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GANANCIAS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1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1.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47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1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804.000</w:t>
            </w:r>
          </w:p>
        </w:tc>
      </w:tr>
      <w:tr w:rsidR="003A1DE0" w:rsidRPr="003A1DE0" w:rsidTr="003A1DE0">
        <w:trPr>
          <w:trHeight w:hRule="exact"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>Ventas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de</w:t>
            </w:r>
            <w:r w:rsidRPr="003A1DE0">
              <w:rPr>
                <w:rFonts w:ascii="Times New Roman" w:eastAsia="Microsoft Sans Serif" w:hAnsi="Times New Roman"/>
                <w:color w:val="000000" w:themeColor="text1"/>
                <w:spacing w:val="1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productos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terminados</w:t>
            </w:r>
            <w:proofErr w:type="spellEnd"/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-    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Comisiones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generales</w:t>
            </w:r>
            <w:proofErr w:type="spellEnd"/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-    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Comisiones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por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gestión</w:t>
            </w:r>
            <w:proofErr w:type="spellEnd"/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-     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por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servicios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diversos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786.000</w:t>
            </w:r>
          </w:p>
          <w:p w:rsidR="00BE0C03" w:rsidRPr="003A1DE0" w:rsidRDefault="00BE0C03">
            <w:pPr>
              <w:tabs>
                <w:tab w:val="left" w:pos="990"/>
                <w:tab w:val="left" w:pos="1170"/>
              </w:tabs>
              <w:spacing w:line="276" w:lineRule="auto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ab/>
              <w:t xml:space="preserve">      5.000</w:t>
            </w: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ab/>
              <w:t xml:space="preserve">      3.000</w:t>
            </w:r>
          </w:p>
          <w:p w:rsidR="00BE0C03" w:rsidRPr="003A1DE0" w:rsidRDefault="00BE0C03">
            <w:pPr>
              <w:spacing w:line="276" w:lineRule="auto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          10.000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18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de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153.500</w:t>
            </w:r>
          </w:p>
        </w:tc>
      </w:tr>
      <w:tr w:rsidR="003A1DE0" w:rsidRPr="003A1DE0" w:rsidTr="003A1DE0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Compras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 xml:space="preserve"> de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materias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primas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24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112.000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line="367" w:lineRule="exact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Sueldos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y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salarios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6" w:line="276" w:lineRule="auto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35.000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before="9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>Indemnizaciones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line="269" w:lineRule="exact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1.000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BE0C03" w:rsidRPr="003A1DE0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3A1DE0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Seguridad</w:t>
            </w:r>
            <w:proofErr w:type="spellEnd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social a cargo de la </w:t>
            </w:r>
            <w:proofErr w:type="spellStart"/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empresa</w:t>
            </w:r>
            <w:proofErr w:type="spellEnd"/>
          </w:p>
          <w:p w:rsidR="00BE0C03" w:rsidRPr="003A1DE0" w:rsidRDefault="00BE0C03">
            <w:pPr>
              <w:widowControl w:val="0"/>
              <w:tabs>
                <w:tab w:val="left" w:pos="823"/>
              </w:tabs>
              <w:spacing w:before="17" w:line="276" w:lineRule="auto"/>
              <w:ind w:left="464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line="259" w:lineRule="exact"/>
              <w:ind w:right="99"/>
              <w:jc w:val="right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5.500</w:t>
            </w:r>
          </w:p>
          <w:p w:rsidR="00BE0C03" w:rsidRPr="003A1DE0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 xml:space="preserve">                      </w:t>
            </w:r>
          </w:p>
          <w:p w:rsidR="00BE0C03" w:rsidRPr="003A1DE0" w:rsidRDefault="00BE0C03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A.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EXPLOTACIÓN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(BAII)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1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650.500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3.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0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OTROS INGRESOS DE EXPLOTACIÓN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20.000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4. OTROS RESULTADOS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Calibri" w:hAnsi="Times New Roman"/>
                <w:b w:val="0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22.000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5.</w:t>
            </w:r>
            <w:r w:rsidRPr="003A1DE0">
              <w:rPr>
                <w:rFonts w:ascii="Times New Roman" w:eastAsia="Calibri" w:hAnsi="Times New Roman"/>
                <w:color w:val="000000" w:themeColor="text1"/>
                <w:spacing w:val="-34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OTROS GASTOS DE EXPLOTACIÓN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18.000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B.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val="en-US"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 xml:space="preserve">FINANCIERO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3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+4-5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24.000</w:t>
            </w:r>
          </w:p>
        </w:tc>
      </w:tr>
      <w:tr w:rsidR="003A1DE0" w:rsidRPr="003A1DE0" w:rsidTr="003A1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C.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40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BRUTO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(BAI)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A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+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674.000</w:t>
            </w:r>
          </w:p>
        </w:tc>
      </w:tr>
      <w:tr w:rsidR="003A1DE0" w:rsidRPr="003A1DE0" w:rsidTr="003A1DE0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5.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Impuesto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sobre</w:t>
            </w:r>
            <w:proofErr w:type="spellEnd"/>
            <w:r w:rsidRPr="003A1DE0">
              <w:rPr>
                <w:rFonts w:ascii="Times New Roman" w:eastAsia="Calibri" w:hAnsi="Times New Roman"/>
                <w:color w:val="000000" w:themeColor="text1"/>
                <w:spacing w:val="-43"/>
                <w:sz w:val="22"/>
                <w:lang w:val="en-US" w:eastAsia="en-US"/>
              </w:rPr>
              <w:t xml:space="preserve"> </w:t>
            </w:r>
            <w:proofErr w:type="spellStart"/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beneficios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202.200</w:t>
            </w:r>
          </w:p>
        </w:tc>
      </w:tr>
      <w:tr w:rsidR="003A1DE0" w:rsidRPr="003A1DE0" w:rsidTr="003A1D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left="104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D.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DEL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EJERCICIO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(BN)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C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3A1DE0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hideMark/>
          </w:tcPr>
          <w:p w:rsidR="00BE0C03" w:rsidRPr="003A1DE0" w:rsidRDefault="00BE0C03">
            <w:pPr>
              <w:widowControl w:val="0"/>
              <w:spacing w:before="33" w:line="276" w:lineRule="auto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3A1DE0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401.800</w:t>
            </w:r>
          </w:p>
        </w:tc>
      </w:tr>
    </w:tbl>
    <w:p w:rsidR="00BE0C03" w:rsidRPr="003A1DE0" w:rsidRDefault="00BE0C03" w:rsidP="00BE0C03">
      <w:pPr>
        <w:jc w:val="center"/>
        <w:rPr>
          <w:rFonts w:ascii="Times New Roman" w:hAnsi="Times New Roman"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color w:val="000000" w:themeColor="text1"/>
          <w:sz w:val="22"/>
          <w:u w:val="single"/>
        </w:rPr>
      </w:pPr>
    </w:p>
    <w:p w:rsidR="00BE0C03" w:rsidRPr="003A1DE0" w:rsidRDefault="00BE0C03" w:rsidP="00BE0C03">
      <w:pPr>
        <w:jc w:val="center"/>
        <w:rPr>
          <w:rFonts w:ascii="Times New Roman" w:hAnsi="Times New Roman"/>
          <w:color w:val="000000" w:themeColor="text1"/>
          <w:sz w:val="22"/>
          <w:u w:val="single"/>
        </w:rPr>
      </w:pPr>
    </w:p>
    <w:p w:rsidR="003A1DE0" w:rsidRPr="00DB6225" w:rsidRDefault="003A1DE0" w:rsidP="003A1DE0">
      <w:pPr>
        <w:jc w:val="center"/>
        <w:rPr>
          <w:rFonts w:ascii="Times New Roman" w:hAnsi="Times New Roman"/>
          <w:b/>
          <w:sz w:val="22"/>
          <w:u w:val="single"/>
        </w:rPr>
      </w:pPr>
      <w:r w:rsidRPr="00DB6225">
        <w:rPr>
          <w:rFonts w:ascii="Times New Roman" w:hAnsi="Times New Roman"/>
          <w:b/>
          <w:sz w:val="22"/>
          <w:u w:val="single"/>
        </w:rPr>
        <w:t xml:space="preserve">EJERCICIO 1 </w:t>
      </w:r>
    </w:p>
    <w:p w:rsidR="003A1DE0" w:rsidRPr="00DB6225" w:rsidRDefault="003A1DE0" w:rsidP="003A1DE0">
      <w:pPr>
        <w:rPr>
          <w:rFonts w:ascii="Times New Roman" w:hAnsi="Times New Roman"/>
          <w:sz w:val="22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1"/>
        <w:gridCol w:w="1952"/>
      </w:tblGrid>
      <w:tr w:rsidR="00DB6225" w:rsidRPr="00DB6225" w:rsidTr="00DB6225">
        <w:trPr>
          <w:trHeight w:hRule="exact" w:val="496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69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Amortizaciones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69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60.000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Gastos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financieros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25.000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>Ventas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 w:rsidRPr="00DB6225">
              <w:rPr>
                <w:rFonts w:ascii="Times New Roman" w:hAnsi="Times New Roman"/>
                <w:color w:val="000000" w:themeColor="text1"/>
              </w:rPr>
              <w:t xml:space="preserve">de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mercaderías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300.000</w:t>
            </w:r>
          </w:p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color w:val="000000" w:themeColor="text1"/>
              </w:rPr>
            </w:pPr>
          </w:p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hAnsi="Times New Roman"/>
                <w:color w:val="000000" w:themeColor="text1"/>
                <w:spacing w:val="-5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>Ventas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 xml:space="preserve"> de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>envases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 xml:space="preserve"> y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>embalajes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tabs>
                <w:tab w:val="left" w:pos="870"/>
                <w:tab w:val="left" w:pos="1335"/>
              </w:tabs>
              <w:spacing w:before="26"/>
              <w:ind w:right="105"/>
              <w:rPr>
                <w:rFonts w:ascii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ab/>
              <w:t xml:space="preserve">     22.000</w:t>
            </w:r>
            <w:r w:rsidRPr="00DB6225">
              <w:rPr>
                <w:rFonts w:ascii="Times New Roman" w:hAnsi="Times New Roman"/>
                <w:color w:val="000000" w:themeColor="text1"/>
              </w:rPr>
              <w:tab/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Gastos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de</w:t>
            </w:r>
            <w:r w:rsidRPr="00DB6225">
              <w:rPr>
                <w:rFonts w:ascii="Times New Roman" w:hAnsi="Times New Roman"/>
                <w:color w:val="000000" w:themeColor="text1"/>
                <w:spacing w:val="-5"/>
              </w:rPr>
              <w:t xml:space="preserve"> </w:t>
            </w:r>
            <w:r w:rsidRPr="00DB6225">
              <w:rPr>
                <w:rFonts w:ascii="Times New Roman" w:hAnsi="Times New Roman"/>
                <w:color w:val="000000" w:themeColor="text1"/>
              </w:rPr>
              <w:t>personal</w:t>
            </w:r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40.000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Gastos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por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alquileres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20.000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Ingresos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  <w:spacing w:val="-4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financieros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15.000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Compra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de</w:t>
            </w:r>
            <w:r w:rsidRPr="00DB6225">
              <w:rPr>
                <w:rFonts w:ascii="Times New Roman" w:hAnsi="Times New Roman"/>
                <w:color w:val="000000" w:themeColor="text1"/>
                <w:spacing w:val="-6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mercaderías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eastAsia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50.000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Compra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de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otros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aprovisionamientos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12.000</w:t>
            </w:r>
          </w:p>
        </w:tc>
      </w:tr>
      <w:tr w:rsidR="00DB6225" w:rsidRPr="00DB6225" w:rsidTr="00DB6225">
        <w:trPr>
          <w:trHeight w:hRule="exact" w:val="449"/>
        </w:trPr>
        <w:tc>
          <w:tcPr>
            <w:tcW w:w="3991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left="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Reparación</w:t>
            </w:r>
            <w:proofErr w:type="spellEnd"/>
            <w:r w:rsidRPr="00DB6225">
              <w:rPr>
                <w:rFonts w:ascii="Times New Roman" w:hAnsi="Times New Roman"/>
                <w:color w:val="000000" w:themeColor="text1"/>
              </w:rPr>
              <w:t xml:space="preserve"> y </w:t>
            </w:r>
            <w:proofErr w:type="spellStart"/>
            <w:r w:rsidRPr="00DB6225">
              <w:rPr>
                <w:rFonts w:ascii="Times New Roman" w:hAnsi="Times New Roman"/>
                <w:color w:val="000000" w:themeColor="text1"/>
              </w:rPr>
              <w:t>conservación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:rsidR="003A1DE0" w:rsidRPr="00DB6225" w:rsidRDefault="003A1DE0" w:rsidP="00770C8B">
            <w:pPr>
              <w:pStyle w:val="TableParagraph"/>
              <w:spacing w:before="26"/>
              <w:ind w:right="105"/>
              <w:jc w:val="right"/>
              <w:rPr>
                <w:rFonts w:ascii="Times New Roman" w:hAnsi="Times New Roman"/>
                <w:color w:val="000000" w:themeColor="text1"/>
              </w:rPr>
            </w:pPr>
            <w:r w:rsidRPr="00DB6225">
              <w:rPr>
                <w:rFonts w:ascii="Times New Roman" w:hAnsi="Times New Roman"/>
                <w:color w:val="000000" w:themeColor="text1"/>
              </w:rPr>
              <w:t>6.000</w:t>
            </w:r>
          </w:p>
        </w:tc>
      </w:tr>
    </w:tbl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tbl>
      <w:tblPr>
        <w:tblStyle w:val="Sombreadomedio2-nfasis1"/>
        <w:tblW w:w="8930" w:type="dxa"/>
        <w:tblLayout w:type="fixed"/>
        <w:tblLook w:val="01E0" w:firstRow="1" w:lastRow="1" w:firstColumn="1" w:lastColumn="1" w:noHBand="0" w:noVBand="0"/>
      </w:tblPr>
      <w:tblGrid>
        <w:gridCol w:w="6804"/>
        <w:gridCol w:w="2126"/>
      </w:tblGrid>
      <w:tr w:rsidR="00DB6225" w:rsidRPr="00DB6225" w:rsidTr="00DB6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30" w:type="dxa"/>
            <w:gridSpan w:val="2"/>
          </w:tcPr>
          <w:p w:rsidR="003A1DE0" w:rsidRPr="00DB6225" w:rsidRDefault="003A1DE0" w:rsidP="00770C8B">
            <w:pPr>
              <w:widowControl w:val="0"/>
              <w:spacing w:before="43"/>
              <w:ind w:left="1327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pacing w:val="-4"/>
                <w:sz w:val="22"/>
                <w:lang w:eastAsia="en-US"/>
              </w:rPr>
              <w:t>CUENTA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DE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PÉRDIDAS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Y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GANANCIAS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1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1.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de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47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1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322.000</w:t>
            </w:r>
          </w:p>
        </w:tc>
      </w:tr>
      <w:tr w:rsidR="00DB6225" w:rsidRPr="00DB6225" w:rsidTr="00DB6225">
        <w:trPr>
          <w:trHeight w:hRule="exact"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>Ventas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-3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de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pacing w:val="11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mercaderías</w:t>
            </w:r>
            <w:proofErr w:type="spellEnd"/>
          </w:p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-    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Ventas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envases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y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embalajes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24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300..000</w:t>
            </w:r>
          </w:p>
          <w:p w:rsidR="003A1DE0" w:rsidRPr="00DB6225" w:rsidRDefault="003A1DE0" w:rsidP="00770C8B">
            <w:pPr>
              <w:tabs>
                <w:tab w:val="left" w:pos="990"/>
                <w:tab w:val="left" w:pos="1170"/>
              </w:tabs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ab/>
              <w:t xml:space="preserve">  22.000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ab/>
              <w:t xml:space="preserve"> 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2.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18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de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19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explotación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188.000</w:t>
            </w:r>
          </w:p>
        </w:tc>
      </w:tr>
      <w:tr w:rsidR="00DB6225" w:rsidRPr="00DB6225" w:rsidTr="00DB6225">
        <w:trPr>
          <w:trHeight w:hRule="exact"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10"/>
                <w:sz w:val="22"/>
                <w:lang w:val="en-US" w:eastAsia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w w:val="110"/>
                <w:sz w:val="22"/>
                <w:lang w:val="en-US" w:eastAsia="en-US"/>
              </w:rPr>
              <w:t>Amortizaciones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24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60.000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line="367" w:lineRule="exact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pacing w:val="-20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personal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6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40.000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before="9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>Gastos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-1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por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pacing w:val="14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alquileres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line="269" w:lineRule="exact"/>
              <w:ind w:right="99"/>
              <w:jc w:val="righ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20.000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Lucida Sans Unicode" w:hAnsi="Times New Roman"/>
                <w:color w:val="000000" w:themeColor="text1"/>
                <w:w w:val="105"/>
                <w:sz w:val="22"/>
                <w:lang w:val="en-US" w:eastAsia="en-US"/>
              </w:rPr>
              <w:tab/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Compras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</w:t>
            </w:r>
            <w:r w:rsidRPr="00DB6225">
              <w:rPr>
                <w:rFonts w:ascii="Times New Roman" w:eastAsia="Microsoft Sans Serif" w:hAnsi="Times New Roman"/>
                <w:color w:val="000000" w:themeColor="text1"/>
                <w:spacing w:val="-24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mercaderías</w:t>
            </w:r>
            <w:proofErr w:type="spellEnd"/>
          </w:p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-   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Compras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de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otros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aprovisionamientos</w:t>
            </w:r>
            <w:proofErr w:type="spellEnd"/>
          </w:p>
          <w:p w:rsidR="003A1DE0" w:rsidRPr="00DB6225" w:rsidRDefault="003A1DE0" w:rsidP="00770C8B">
            <w:pPr>
              <w:widowControl w:val="0"/>
              <w:tabs>
                <w:tab w:val="left" w:pos="823"/>
              </w:tabs>
              <w:spacing w:before="17"/>
              <w:ind w:left="464"/>
              <w:jc w:val="left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-   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Reparación</w:t>
            </w:r>
            <w:proofErr w:type="spellEnd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y </w:t>
            </w:r>
            <w:proofErr w:type="spellStart"/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>conservación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line="259" w:lineRule="exact"/>
              <w:ind w:right="99"/>
              <w:jc w:val="right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>50.000</w:t>
            </w:r>
          </w:p>
          <w:p w:rsidR="003A1DE0" w:rsidRPr="00DB6225" w:rsidRDefault="003A1DE0" w:rsidP="00770C8B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w w:val="95"/>
                <w:sz w:val="22"/>
                <w:lang w:val="en-US" w:eastAsia="en-US"/>
              </w:rPr>
              <w:t xml:space="preserve">                     12.000 </w:t>
            </w:r>
          </w:p>
          <w:p w:rsidR="003A1DE0" w:rsidRPr="00DB6225" w:rsidRDefault="003A1DE0" w:rsidP="00770C8B">
            <w:pPr>
              <w:widowControl w:val="0"/>
              <w:spacing w:line="259" w:lineRule="exact"/>
              <w:ind w:right="99"/>
              <w:jc w:val="center"/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Microsoft Sans Serif" w:hAnsi="Times New Roman"/>
                <w:color w:val="000000" w:themeColor="text1"/>
                <w:sz w:val="22"/>
                <w:lang w:val="en-US" w:eastAsia="en-US"/>
              </w:rPr>
              <w:t xml:space="preserve">                    6.000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A.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EXPLOTACIÓN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(BAII)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1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2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134.000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3.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0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Ingresos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pacing w:val="-31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financieros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15.000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4.</w:t>
            </w:r>
            <w:r w:rsidRPr="00DB6225">
              <w:rPr>
                <w:rFonts w:ascii="Times New Roman" w:eastAsia="Calibri" w:hAnsi="Times New Roman"/>
                <w:color w:val="000000" w:themeColor="text1"/>
                <w:spacing w:val="-34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Gastos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pacing w:val="-35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financieros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25.000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B.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val="en-US" w:eastAsia="en-US"/>
              </w:rPr>
              <w:t>RESULTADO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FINANCIERO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=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3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39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–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0"/>
                <w:sz w:val="22"/>
                <w:lang w:val="en-US"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val="en-US"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-10.000</w:t>
            </w:r>
          </w:p>
        </w:tc>
      </w:tr>
      <w:tr w:rsidR="00DB6225" w:rsidRPr="00DB6225" w:rsidTr="00DB6225">
        <w:trPr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C.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40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BRUTO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(BAI)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A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8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+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pacing w:val="-39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eastAsia="en-US"/>
              </w:rPr>
              <w:t>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124.000</w:t>
            </w:r>
          </w:p>
        </w:tc>
      </w:tr>
      <w:tr w:rsidR="00DB6225" w:rsidRPr="00DB6225" w:rsidTr="00DB6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lastRenderedPageBreak/>
              <w:t xml:space="preserve">5.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Impuesto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sobre</w:t>
            </w:r>
            <w:proofErr w:type="spellEnd"/>
            <w:r w:rsidRPr="00DB6225">
              <w:rPr>
                <w:rFonts w:ascii="Times New Roman" w:eastAsia="Calibri" w:hAnsi="Times New Roman"/>
                <w:color w:val="000000" w:themeColor="text1"/>
                <w:spacing w:val="-43"/>
                <w:sz w:val="22"/>
                <w:lang w:val="en-US" w:eastAsia="en-US"/>
              </w:rPr>
              <w:t xml:space="preserve"> </w:t>
            </w:r>
            <w:proofErr w:type="spellStart"/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beneficios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99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color w:val="000000" w:themeColor="text1"/>
                <w:sz w:val="22"/>
                <w:lang w:val="en-US" w:eastAsia="en-US"/>
              </w:rPr>
              <w:t>37.200</w:t>
            </w:r>
          </w:p>
        </w:tc>
      </w:tr>
      <w:tr w:rsidR="00DB6225" w:rsidRPr="00DB6225" w:rsidTr="00DB62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</w:tcPr>
          <w:p w:rsidR="003A1DE0" w:rsidRPr="00DB6225" w:rsidRDefault="003A1DE0" w:rsidP="00770C8B">
            <w:pPr>
              <w:widowControl w:val="0"/>
              <w:spacing w:before="33"/>
              <w:ind w:left="104"/>
              <w:jc w:val="left"/>
              <w:rPr>
                <w:rFonts w:ascii="Times New Roman" w:eastAsia="Arial" w:hAnsi="Times New Roman"/>
                <w:color w:val="000000" w:themeColor="text1"/>
                <w:sz w:val="22"/>
                <w:lang w:eastAsia="en-US"/>
              </w:rPr>
            </w:pP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D.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6"/>
                <w:sz w:val="22"/>
                <w:lang w:eastAsia="en-US"/>
              </w:rPr>
              <w:t>RESULTADO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DEL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EJERCICIO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(BN)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=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C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–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pacing w:val="-43"/>
                <w:sz w:val="22"/>
                <w:lang w:eastAsia="en-US"/>
              </w:rPr>
              <w:t xml:space="preserve"> </w:t>
            </w:r>
            <w:r w:rsidRPr="00DB6225">
              <w:rPr>
                <w:rFonts w:ascii="Times New Roman" w:eastAsia="Arial" w:hAnsi="Times New Roman"/>
                <w:i/>
                <w:color w:val="000000" w:themeColor="text1"/>
                <w:sz w:val="22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:rsidR="003A1DE0" w:rsidRPr="00DB6225" w:rsidRDefault="003A1DE0" w:rsidP="00770C8B">
            <w:pPr>
              <w:widowControl w:val="0"/>
              <w:spacing w:before="33"/>
              <w:ind w:right="121"/>
              <w:jc w:val="right"/>
              <w:rPr>
                <w:rFonts w:ascii="Times New Roman" w:eastAsia="Arial" w:hAnsi="Times New Roman"/>
                <w:color w:val="000000" w:themeColor="text1"/>
                <w:sz w:val="22"/>
                <w:lang w:val="en-US" w:eastAsia="en-US"/>
              </w:rPr>
            </w:pPr>
            <w:r w:rsidRPr="00DB6225">
              <w:rPr>
                <w:rFonts w:ascii="Times New Roman" w:eastAsia="Calibri" w:hAnsi="Times New Roman"/>
                <w:i/>
                <w:color w:val="000000" w:themeColor="text1"/>
                <w:sz w:val="22"/>
                <w:lang w:val="en-US" w:eastAsia="en-US"/>
              </w:rPr>
              <w:t>86.800</w:t>
            </w:r>
          </w:p>
        </w:tc>
      </w:tr>
    </w:tbl>
    <w:p w:rsidR="003A1DE0" w:rsidRPr="00DB6225" w:rsidRDefault="003A1DE0" w:rsidP="003A1DE0">
      <w:pPr>
        <w:rPr>
          <w:rFonts w:ascii="Times New Roman" w:hAnsi="Times New Roman"/>
          <w:color w:val="000000" w:themeColor="text1"/>
          <w:sz w:val="22"/>
        </w:rPr>
      </w:pPr>
    </w:p>
    <w:p w:rsidR="005A21BF" w:rsidRPr="00DB6225" w:rsidRDefault="005A21BF">
      <w:pPr>
        <w:rPr>
          <w:color w:val="000000" w:themeColor="text1"/>
        </w:rPr>
      </w:pPr>
    </w:p>
    <w:sectPr w:rsidR="005A21BF" w:rsidRPr="00DB6225" w:rsidSect="005A21B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16" w:rsidRDefault="00641116" w:rsidP="00BE0C03">
      <w:r>
        <w:separator/>
      </w:r>
    </w:p>
  </w:endnote>
  <w:endnote w:type="continuationSeparator" w:id="0">
    <w:p w:rsidR="00641116" w:rsidRDefault="00641116" w:rsidP="00BE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0846"/>
      <w:docPartObj>
        <w:docPartGallery w:val="Page Numbers (Bottom of Page)"/>
        <w:docPartUnique/>
      </w:docPartObj>
    </w:sdtPr>
    <w:sdtEndPr/>
    <w:sdtContent>
      <w:p w:rsidR="00BE0C03" w:rsidRDefault="00641116" w:rsidP="003A1DE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2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C03" w:rsidRDefault="00BE0C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16" w:rsidRDefault="00641116" w:rsidP="00BE0C03">
      <w:r>
        <w:separator/>
      </w:r>
    </w:p>
  </w:footnote>
  <w:footnote w:type="continuationSeparator" w:id="0">
    <w:p w:rsidR="00641116" w:rsidRDefault="00641116" w:rsidP="00BE0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E0" w:rsidRDefault="003A1DE0">
    <w:pPr>
      <w:pStyle w:val="Encabezado"/>
    </w:pPr>
  </w:p>
  <w:p w:rsidR="00BE0C03" w:rsidRDefault="00BE0C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D70BC"/>
    <w:multiLevelType w:val="hybridMultilevel"/>
    <w:tmpl w:val="4F34FC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3"/>
    <w:rsid w:val="003A1DE0"/>
    <w:rsid w:val="004659B8"/>
    <w:rsid w:val="005A21BF"/>
    <w:rsid w:val="00641116"/>
    <w:rsid w:val="00852970"/>
    <w:rsid w:val="00BE0C03"/>
    <w:rsid w:val="00C86C19"/>
    <w:rsid w:val="00DB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C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E0C03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B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03"/>
    <w:rPr>
      <w:rFonts w:ascii="Tahoma" w:eastAsia="Times New Roman" w:hAnsi="Tahoma" w:cs="Tahoma"/>
      <w:sz w:val="16"/>
      <w:szCs w:val="16"/>
      <w:lang w:eastAsia="es-ES"/>
    </w:rPr>
  </w:style>
  <w:style w:type="table" w:styleId="Sombreadomedio2-nfasis1">
    <w:name w:val="Medium Shading 2 Accent 1"/>
    <w:basedOn w:val="Tablanormal"/>
    <w:uiPriority w:val="64"/>
    <w:rsid w:val="003A1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3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C0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BE0C03"/>
    <w:pPr>
      <w:widowControl w:val="0"/>
      <w:jc w:val="left"/>
    </w:pPr>
    <w:rPr>
      <w:rFonts w:ascii="Calibri" w:eastAsia="Calibri" w:hAnsi="Calibri"/>
      <w:sz w:val="22"/>
      <w:lang w:val="en-US" w:eastAsia="en-US"/>
    </w:rPr>
  </w:style>
  <w:style w:type="table" w:styleId="Tablaconcuadrcula">
    <w:name w:val="Table Grid"/>
    <w:basedOn w:val="Tablanormal"/>
    <w:uiPriority w:val="59"/>
    <w:rsid w:val="00BE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E0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C03"/>
    <w:rPr>
      <w:rFonts w:ascii="Trebuchet MS" w:eastAsia="Times New Roman" w:hAnsi="Trebuchet MS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C03"/>
    <w:rPr>
      <w:rFonts w:ascii="Tahoma" w:eastAsia="Times New Roman" w:hAnsi="Tahoma" w:cs="Tahoma"/>
      <w:sz w:val="16"/>
      <w:szCs w:val="16"/>
      <w:lang w:eastAsia="es-ES"/>
    </w:rPr>
  </w:style>
  <w:style w:type="table" w:styleId="Sombreadomedio2-nfasis1">
    <w:name w:val="Medium Shading 2 Accent 1"/>
    <w:basedOn w:val="Tablanormal"/>
    <w:uiPriority w:val="64"/>
    <w:rsid w:val="003A1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0BE9"/>
    <w:rsid w:val="00234200"/>
    <w:rsid w:val="00463ADF"/>
    <w:rsid w:val="0069487F"/>
    <w:rsid w:val="00D5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5B05AB0C384480AB40A11FE8C74552">
    <w:name w:val="CE5B05AB0C384480AB40A11FE8C74552"/>
    <w:rsid w:val="00D50BE9"/>
  </w:style>
  <w:style w:type="paragraph" w:customStyle="1" w:styleId="399BCFAEE34947459DBD21B4406F19F7">
    <w:name w:val="399BCFAEE34947459DBD21B4406F19F7"/>
    <w:rsid w:val="006948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PÉRDIDAS Y GANANCIAS</vt:lpstr>
    </vt:vector>
  </TitlesOfParts>
  <Company>Hewlett-Packard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PÉRDIDAS Y GANANCIAS</dc:title>
  <dc:creator>Nuria . .</dc:creator>
  <cp:lastModifiedBy>leidy suarez espinosa</cp:lastModifiedBy>
  <cp:revision>2</cp:revision>
  <dcterms:created xsi:type="dcterms:W3CDTF">2016-01-16T14:05:00Z</dcterms:created>
  <dcterms:modified xsi:type="dcterms:W3CDTF">2016-01-16T14:05:00Z</dcterms:modified>
</cp:coreProperties>
</file>